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9F" w:rsidRDefault="005B239F" w:rsidP="005B239F">
      <w:pPr>
        <w:pStyle w:val="Style4"/>
        <w:kinsoku w:val="0"/>
        <w:autoSpaceDE/>
        <w:autoSpaceDN/>
        <w:spacing w:line="204" w:lineRule="auto"/>
        <w:rPr>
          <w:rStyle w:val="CharacterStyle6"/>
          <w:b/>
          <w:w w:val="105"/>
          <w:lang w:val="es-ES" w:eastAsia="es-ES"/>
        </w:rPr>
      </w:pPr>
      <w:r>
        <w:rPr>
          <w:rStyle w:val="CharacterStyle6"/>
          <w:b/>
          <w:w w:val="105"/>
          <w:lang w:val="es-ES" w:eastAsia="es-ES"/>
        </w:rPr>
        <w:t>RESOLUCION No 424-02</w:t>
      </w:r>
    </w:p>
    <w:p w:rsidR="005B239F" w:rsidRDefault="005B239F" w:rsidP="005B239F">
      <w:pPr>
        <w:pStyle w:val="Style3"/>
        <w:kinsoku w:val="0"/>
        <w:autoSpaceDE/>
        <w:autoSpaceDN/>
        <w:adjustRightInd/>
        <w:spacing w:before="540"/>
        <w:ind w:right="72"/>
        <w:rPr>
          <w:rStyle w:val="CharacterStyle5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2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San José, a las catorce horas doce minutos del nueve de octubre del dos mil dos.-</w:t>
      </w:r>
    </w:p>
    <w:p w:rsidR="005B239F" w:rsidRDefault="005B239F" w:rsidP="005B239F">
      <w:pPr>
        <w:pStyle w:val="Style4"/>
        <w:kinsoku w:val="0"/>
        <w:autoSpaceDE/>
        <w:autoSpaceDN/>
        <w:spacing w:line="240" w:lineRule="auto"/>
        <w:ind w:right="72"/>
        <w:jc w:val="both"/>
        <w:rPr>
          <w:rStyle w:val="CharacterStyle6"/>
          <w:b/>
          <w:spacing w:val="-4"/>
          <w:w w:val="105"/>
          <w:lang w:val="es-ES" w:eastAsia="es-ES"/>
        </w:rPr>
      </w:pPr>
      <w:r>
        <w:rPr>
          <w:rStyle w:val="CharacterStyle6"/>
          <w:bCs w:val="0"/>
          <w:spacing w:val="-4"/>
          <w:w w:val="105"/>
          <w:lang w:val="es-ES" w:eastAsia="es-ES"/>
        </w:rPr>
        <w:t xml:space="preserve">Se conoce </w:t>
      </w:r>
      <w:r>
        <w:rPr>
          <w:rStyle w:val="CharacterStyle6"/>
          <w:b/>
          <w:spacing w:val="-4"/>
          <w:w w:val="105"/>
          <w:lang w:val="es-ES" w:eastAsia="es-ES"/>
        </w:rPr>
        <w:t xml:space="preserve">gestión </w:t>
      </w:r>
      <w:r>
        <w:rPr>
          <w:rStyle w:val="CharacterStyle6"/>
          <w:bCs w:val="0"/>
          <w:spacing w:val="-4"/>
          <w:w w:val="105"/>
          <w:lang w:val="es-ES" w:eastAsia="es-ES"/>
        </w:rPr>
        <w:t xml:space="preserve">interpuesta por el señor </w:t>
      </w:r>
      <w:r>
        <w:rPr>
          <w:rStyle w:val="CharacterStyle6"/>
          <w:b/>
          <w:spacing w:val="-4"/>
          <w:w w:val="105"/>
          <w:lang w:val="es-ES" w:eastAsia="es-ES"/>
        </w:rPr>
        <w:t xml:space="preserve">ECC, cédula de identidad </w:t>
      </w:r>
      <w:r>
        <w:rPr>
          <w:rStyle w:val="CharacterStyle6"/>
          <w:b/>
          <w:spacing w:val="-1"/>
          <w:w w:val="105"/>
          <w:lang w:val="es-ES" w:eastAsia="es-ES"/>
        </w:rPr>
        <w:t>número …, AB, cédula …, JEG, cédula …</w:t>
      </w:r>
      <w:r>
        <w:rPr>
          <w:rStyle w:val="CharacterStyle6"/>
          <w:b/>
          <w:spacing w:val="-7"/>
          <w:w w:val="105"/>
          <w:lang w:val="es-ES" w:eastAsia="es-ES"/>
        </w:rPr>
        <w:t>, AC cédula …, VD cédula …, J</w:t>
      </w:r>
      <w:r>
        <w:rPr>
          <w:rStyle w:val="CharacterStyle6"/>
          <w:b/>
          <w:spacing w:val="-4"/>
          <w:w w:val="105"/>
          <w:lang w:val="es-ES" w:eastAsia="es-ES"/>
        </w:rPr>
        <w:t>OF cédula .., RCC cédula …., MR</w:t>
      </w:r>
      <w:r>
        <w:rPr>
          <w:rStyle w:val="CharacterStyle6"/>
          <w:b/>
          <w:spacing w:val="-1"/>
          <w:w w:val="105"/>
          <w:lang w:val="es-ES" w:eastAsia="es-ES"/>
        </w:rPr>
        <w:t xml:space="preserve"> cédula ….., JMMS cédula …, EN</w:t>
      </w:r>
      <w:r>
        <w:rPr>
          <w:rStyle w:val="CharacterStyle6"/>
          <w:b/>
          <w:spacing w:val="-3"/>
          <w:w w:val="105"/>
          <w:lang w:val="es-ES" w:eastAsia="es-ES"/>
        </w:rPr>
        <w:t>M cédula …, LVC …., CS</w:t>
      </w:r>
      <w:r>
        <w:rPr>
          <w:rStyle w:val="CharacterStyle6"/>
          <w:b/>
          <w:spacing w:val="-4"/>
          <w:w w:val="105"/>
          <w:lang w:val="es-ES" w:eastAsia="es-ES"/>
        </w:rPr>
        <w:t>F cédula …, JUZ cédula …, SC</w:t>
      </w:r>
      <w:r>
        <w:rPr>
          <w:rStyle w:val="CharacterStyle6"/>
          <w:b/>
          <w:spacing w:val="-1"/>
          <w:w w:val="105"/>
          <w:lang w:val="es-ES" w:eastAsia="es-ES"/>
        </w:rPr>
        <w:t>T cédula …, JU cédula …., JLM, cédula 1-609</w:t>
      </w:r>
      <w:r>
        <w:rPr>
          <w:rStyle w:val="CharacterStyle6"/>
          <w:b/>
          <w:spacing w:val="-1"/>
          <w:w w:val="105"/>
          <w:lang w:val="es-ES" w:eastAsia="es-ES"/>
        </w:rPr>
        <w:softHyphen/>
        <w:t>141, MMM, cédula …, MWC cédula …</w:t>
      </w:r>
      <w:r>
        <w:rPr>
          <w:rStyle w:val="CharacterStyle6"/>
          <w:b/>
          <w:spacing w:val="-3"/>
          <w:w w:val="105"/>
          <w:lang w:val="es-ES" w:eastAsia="es-ES"/>
        </w:rPr>
        <w:t>, DNC cédula …, ECC cédula …</w:t>
      </w:r>
      <w:r>
        <w:rPr>
          <w:rStyle w:val="CharacterStyle6"/>
          <w:b/>
          <w:spacing w:val="2"/>
          <w:w w:val="105"/>
          <w:lang w:val="es-ES" w:eastAsia="es-ES"/>
        </w:rPr>
        <w:t xml:space="preserve">, ECC cédula …, RC cédula …, </w:t>
      </w:r>
      <w:r>
        <w:rPr>
          <w:rStyle w:val="CharacterStyle6"/>
          <w:b/>
          <w:spacing w:val="-1"/>
          <w:w w:val="105"/>
          <w:lang w:val="es-ES" w:eastAsia="es-ES"/>
        </w:rPr>
        <w:t>RPM cédula …, MCC cédula …</w:t>
      </w:r>
      <w:r>
        <w:rPr>
          <w:rStyle w:val="CharacterStyle6"/>
          <w:b/>
          <w:w w:val="105"/>
          <w:lang w:val="es-ES" w:eastAsia="es-ES"/>
        </w:rPr>
        <w:t>, WJD cédula …, IG cédula …., J</w:t>
      </w:r>
      <w:r>
        <w:rPr>
          <w:rStyle w:val="CharacterStyle6"/>
          <w:b/>
          <w:spacing w:val="-6"/>
          <w:w w:val="105"/>
          <w:lang w:val="es-ES" w:eastAsia="es-ES"/>
        </w:rPr>
        <w:t xml:space="preserve">SU cédula …., ALMB cédula … </w:t>
      </w:r>
      <w:r>
        <w:rPr>
          <w:rStyle w:val="CharacterStyle6"/>
          <w:bCs w:val="0"/>
          <w:spacing w:val="-6"/>
          <w:w w:val="105"/>
          <w:lang w:val="es-ES" w:eastAsia="es-ES"/>
        </w:rPr>
        <w:t xml:space="preserve">y </w:t>
      </w:r>
      <w:r>
        <w:rPr>
          <w:rStyle w:val="CharacterStyle6"/>
          <w:b/>
          <w:spacing w:val="-6"/>
          <w:w w:val="105"/>
          <w:lang w:val="es-ES" w:eastAsia="es-ES"/>
        </w:rPr>
        <w:t xml:space="preserve">JC </w:t>
      </w:r>
      <w:r>
        <w:rPr>
          <w:rStyle w:val="CharacterStyle6"/>
          <w:b/>
          <w:spacing w:val="-4"/>
          <w:w w:val="105"/>
          <w:lang w:val="es-ES" w:eastAsia="es-ES"/>
        </w:rPr>
        <w:t xml:space="preserve">cédula …, </w:t>
      </w:r>
      <w:r>
        <w:rPr>
          <w:rStyle w:val="CharacterStyle6"/>
          <w:bCs w:val="0"/>
          <w:spacing w:val="-4"/>
          <w:w w:val="105"/>
          <w:lang w:val="es-ES" w:eastAsia="es-ES"/>
        </w:rPr>
        <w:t xml:space="preserve">contra la publicación realizada al Alcance número 75-A a La Gaceta 207 </w:t>
      </w:r>
      <w:r>
        <w:rPr>
          <w:rStyle w:val="CharacterStyle6"/>
          <w:bCs w:val="0"/>
          <w:spacing w:val="-2"/>
          <w:w w:val="105"/>
          <w:lang w:val="es-ES" w:eastAsia="es-ES"/>
        </w:rPr>
        <w:t xml:space="preserve">de fecha 29 de octubre del 2001, dictado por el Consejo de Transporte Público y tramitado </w:t>
      </w:r>
      <w:r>
        <w:rPr>
          <w:rStyle w:val="CharacterStyle6"/>
          <w:bCs w:val="0"/>
          <w:spacing w:val="-4"/>
          <w:w w:val="105"/>
          <w:lang w:val="es-ES" w:eastAsia="es-ES"/>
        </w:rPr>
        <w:t xml:space="preserve">en este Despacho bajo </w:t>
      </w:r>
      <w:r>
        <w:rPr>
          <w:rStyle w:val="CharacterStyle6"/>
          <w:b/>
          <w:spacing w:val="-4"/>
          <w:w w:val="105"/>
          <w:lang w:val="es-ES" w:eastAsia="es-ES"/>
        </w:rPr>
        <w:t>Expediente Administrativo No. TAT-324-02.</w:t>
      </w:r>
    </w:p>
    <w:p w:rsidR="005B239F" w:rsidRDefault="005B239F" w:rsidP="005B239F">
      <w:pPr>
        <w:pStyle w:val="Style4"/>
        <w:kinsoku w:val="0"/>
        <w:autoSpaceDE/>
        <w:autoSpaceDN/>
        <w:spacing w:before="612"/>
        <w:rPr>
          <w:rStyle w:val="CharacterStyle6"/>
          <w:b/>
          <w:w w:val="105"/>
          <w:lang w:val="es-ES" w:eastAsia="es-ES"/>
        </w:rPr>
      </w:pPr>
      <w:r>
        <w:rPr>
          <w:rStyle w:val="CharacterStyle6"/>
          <w:b/>
          <w:w w:val="105"/>
          <w:lang w:val="es-ES" w:eastAsia="es-ES"/>
        </w:rPr>
        <w:t>RESULTANDO</w:t>
      </w:r>
    </w:p>
    <w:p w:rsidR="005B239F" w:rsidRDefault="005B239F" w:rsidP="005B239F">
      <w:pPr>
        <w:pStyle w:val="Style5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5B239F" w:rsidRDefault="005B239F" w:rsidP="005B239F">
      <w:pPr>
        <w:pStyle w:val="Style5"/>
        <w:kinsoku w:val="0"/>
        <w:autoSpaceDE/>
        <w:autoSpaceDN/>
        <w:spacing w:before="0"/>
        <w:ind w:right="74"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5B239F" w:rsidRDefault="005B239F" w:rsidP="005B239F">
      <w:pPr>
        <w:pStyle w:val="Style5"/>
        <w:kinsoku w:val="0"/>
        <w:autoSpaceDE/>
        <w:autoSpaceDN/>
        <w:spacing w:before="0"/>
        <w:ind w:right="74"/>
        <w:rPr>
          <w:spacing w:val="-4"/>
          <w:w w:val="105"/>
          <w:lang w:val="es-ES" w:eastAsia="es-ES"/>
        </w:rPr>
      </w:pPr>
    </w:p>
    <w:p w:rsidR="005B239F" w:rsidRDefault="005B239F" w:rsidP="005B239F">
      <w:pPr>
        <w:pStyle w:val="Style5"/>
        <w:kinsoku w:val="0"/>
        <w:autoSpaceDE/>
        <w:autoSpaceDN/>
        <w:spacing w:before="0"/>
        <w:ind w:right="74"/>
        <w:rPr>
          <w:rStyle w:val="CharacterStyle1"/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T</w:t>
      </w:r>
      <w:r>
        <w:rPr>
          <w:rStyle w:val="CharacterStyle1"/>
          <w:spacing w:val="-2"/>
          <w:w w:val="105"/>
          <w:lang w:val="es-ES" w:eastAsia="es-ES"/>
        </w:rPr>
        <w:t xml:space="preserve">ERCERO: 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>obtenida para cada uno de los, participantes.</w:t>
      </w:r>
    </w:p>
    <w:p w:rsidR="005B239F" w:rsidRDefault="005B239F" w:rsidP="005B239F">
      <w:pPr>
        <w:pStyle w:val="Style1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5B239F" w:rsidRDefault="005B239F" w:rsidP="005B239F">
      <w:pPr>
        <w:pStyle w:val="Style2"/>
        <w:kinsoku w:val="0"/>
        <w:autoSpaceDE/>
        <w:autoSpaceDN/>
        <w:adjustRightInd/>
        <w:spacing w:before="540"/>
        <w:jc w:val="both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 xml:space="preserve">QUINTO: Que el Consejo de Transporte Público, mediante Artículo N° 1 de la Sesión </w:t>
      </w:r>
      <w:r>
        <w:rPr>
          <w:spacing w:val="7"/>
          <w:w w:val="105"/>
          <w:lang w:val="es-ES" w:eastAsia="es-ES"/>
        </w:rPr>
        <w:t xml:space="preserve">Extraordinaria N° 37-2001 de fecha 24 de octubre del 2001, adjudicó el Primer </w:t>
      </w:r>
      <w:r>
        <w:rPr>
          <w:spacing w:val="-3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4"/>
          <w:w w:val="105"/>
          <w:lang w:val="es-ES" w:eastAsia="es-ES"/>
        </w:rPr>
        <w:t>en la modalidad de taxi.</w:t>
      </w:r>
    </w:p>
    <w:p w:rsidR="005B239F" w:rsidRDefault="005B239F" w:rsidP="005B239F">
      <w:pPr>
        <w:pStyle w:val="Style2"/>
        <w:kinsoku w:val="0"/>
        <w:autoSpaceDE/>
        <w:autoSpaceDN/>
        <w:adjustRightInd/>
        <w:spacing w:before="576"/>
        <w:jc w:val="both"/>
        <w:rPr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SEXTO: Que el 9 de noviembre del 2001 los </w:t>
      </w:r>
      <w:proofErr w:type="spellStart"/>
      <w:r>
        <w:rPr>
          <w:spacing w:val="3"/>
          <w:w w:val="105"/>
          <w:lang w:val="es-ES" w:eastAsia="es-ES"/>
        </w:rPr>
        <w:t>petentes</w:t>
      </w:r>
      <w:proofErr w:type="spellEnd"/>
      <w:r>
        <w:rPr>
          <w:spacing w:val="3"/>
          <w:w w:val="105"/>
          <w:lang w:val="es-ES" w:eastAsia="es-ES"/>
        </w:rPr>
        <w:t xml:space="preserve"> actuando dentro de una </w:t>
      </w:r>
      <w:proofErr w:type="spellStart"/>
      <w:r>
        <w:rPr>
          <w:spacing w:val="3"/>
          <w:w w:val="105"/>
          <w:lang w:val="es-ES" w:eastAsia="es-ES"/>
        </w:rPr>
        <w:t>litis</w:t>
      </w:r>
      <w:proofErr w:type="spellEnd"/>
      <w:r>
        <w:rPr>
          <w:spacing w:val="3"/>
          <w:w w:val="105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 xml:space="preserve">consorcio activa presentan un escrito de petición sobre la reconsideración y análisis de </w:t>
      </w:r>
      <w:r>
        <w:rPr>
          <w:spacing w:val="-2"/>
          <w:w w:val="105"/>
          <w:lang w:val="es-ES" w:eastAsia="es-ES"/>
        </w:rPr>
        <w:t xml:space="preserve">factibilidad por parte del Administración para la zona geográfica de San Pablo de León </w:t>
      </w:r>
      <w:r>
        <w:rPr>
          <w:w w:val="105"/>
          <w:lang w:val="es-ES" w:eastAsia="es-ES"/>
        </w:rPr>
        <w:t>Cortes.</w:t>
      </w:r>
    </w:p>
    <w:p w:rsidR="005B239F" w:rsidRDefault="005B239F" w:rsidP="005B239F">
      <w:pPr>
        <w:pStyle w:val="Style1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SETIMO: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-5"/>
          <w:w w:val="105"/>
          <w:lang w:val="es-ES" w:eastAsia="es-ES"/>
        </w:rPr>
        <w:t xml:space="preserve">020201 donde rechaza la solicitud planteada por los </w:t>
      </w:r>
      <w:proofErr w:type="spellStart"/>
      <w:r>
        <w:rPr>
          <w:rStyle w:val="CharacterStyle1"/>
          <w:spacing w:val="-5"/>
          <w:w w:val="105"/>
          <w:lang w:val="es-ES" w:eastAsia="es-ES"/>
        </w:rPr>
        <w:t>petentes</w:t>
      </w:r>
      <w:proofErr w:type="spellEnd"/>
      <w:r>
        <w:rPr>
          <w:rStyle w:val="CharacterStyle1"/>
          <w:spacing w:val="-5"/>
          <w:w w:val="105"/>
          <w:lang w:val="es-ES" w:eastAsia="es-ES"/>
        </w:rPr>
        <w:t xml:space="preserve"> y eleva en apelación, ante el </w:t>
      </w:r>
      <w:r>
        <w:rPr>
          <w:rStyle w:val="CharacterStyle1"/>
          <w:spacing w:val="-2"/>
          <w:w w:val="105"/>
          <w:lang w:val="es-ES" w:eastAsia="es-ES"/>
        </w:rPr>
        <w:t xml:space="preserve">Tribunal Administrativo de Transporte, el escrito señalado mediante el Artículo 4 de la </w:t>
      </w:r>
      <w:r>
        <w:rPr>
          <w:rStyle w:val="CharacterStyle1"/>
          <w:spacing w:val="-4"/>
          <w:w w:val="105"/>
          <w:lang w:val="es-ES" w:eastAsia="es-ES"/>
        </w:rPr>
        <w:t>Sesión Ordinaria N° 5- 2002 de fecha 17 de enero del 2002</w:t>
      </w:r>
    </w:p>
    <w:p w:rsidR="005B239F" w:rsidRDefault="005B239F" w:rsidP="005B239F">
      <w:pPr>
        <w:pStyle w:val="Style2"/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OCTAVO: </w:t>
      </w:r>
      <w:r>
        <w:rPr>
          <w:spacing w:val="-4"/>
          <w:w w:val="105"/>
          <w:lang w:val="es-ES" w:eastAsia="es-ES"/>
        </w:rPr>
        <w:t>En los procedimientos seguidos se han observado las prescripciones legales.</w:t>
      </w:r>
    </w:p>
    <w:p w:rsidR="005B239F" w:rsidRDefault="005B239F" w:rsidP="005B239F">
      <w:pPr>
        <w:pStyle w:val="Style2"/>
        <w:kinsoku w:val="0"/>
        <w:autoSpaceDE/>
        <w:autoSpaceDN/>
        <w:adjustRightInd/>
        <w:spacing w:before="540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Redacta el Juez Fallas Acosta; y,</w:t>
      </w:r>
    </w:p>
    <w:p w:rsidR="005B239F" w:rsidRDefault="005B239F" w:rsidP="005B239F">
      <w:pPr>
        <w:pStyle w:val="Style2"/>
        <w:kinsoku w:val="0"/>
        <w:autoSpaceDE/>
        <w:autoSpaceDN/>
        <w:adjustRightInd/>
        <w:spacing w:before="576" w:line="208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5B239F" w:rsidRDefault="005B239F" w:rsidP="005B239F">
      <w:pPr>
        <w:pStyle w:val="Style1"/>
        <w:kinsoku w:val="0"/>
        <w:autoSpaceDE/>
        <w:autoSpaceDN/>
        <w:sectPr w:rsidR="005B239F">
          <w:pgSz w:w="12240" w:h="15840"/>
          <w:pgMar w:top="1426" w:right="1620" w:bottom="1384" w:left="1660" w:header="720" w:footer="720" w:gutter="0"/>
          <w:cols w:space="720"/>
          <w:noEndnote/>
        </w:sect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-4"/>
          <w:w w:val="105"/>
          <w:lang w:val="es-ES" w:eastAsia="es-ES"/>
        </w:rPr>
        <w:t xml:space="preserve">De conformidad con el artículo 22 de la Ley Reguladora del Servicio Público de Transporte Remunerado de Personas en Vehículos en la Modalidad </w:t>
      </w:r>
      <w:r>
        <w:rPr>
          <w:rStyle w:val="CharacterStyle1"/>
          <w:spacing w:val="-3"/>
          <w:w w:val="105"/>
          <w:lang w:val="es-ES" w:eastAsia="es-ES"/>
        </w:rPr>
        <w:t xml:space="preserve">de Taxi, No. 7969 del 22 de diciembre de 1999, en relación con el artículo 15 del Decreto </w:t>
      </w:r>
      <w:r>
        <w:rPr>
          <w:rStyle w:val="CharacterStyle1"/>
          <w:spacing w:val="-4"/>
          <w:w w:val="105"/>
          <w:lang w:val="es-ES" w:eastAsia="es-ES"/>
        </w:rPr>
        <w:t xml:space="preserve">No. 28913-MOPT denominado "Reglamento del primer procedimiento especial abreviado </w:t>
      </w:r>
      <w:r>
        <w:rPr>
          <w:rStyle w:val="CharacterStyle1"/>
          <w:spacing w:val="-3"/>
          <w:w w:val="105"/>
          <w:lang w:val="es-ES" w:eastAsia="es-ES"/>
        </w:rPr>
        <w:t xml:space="preserve">para el transporte remunerado de personas en vehículos en la modalidad de taxi" y sus </w:t>
      </w:r>
      <w:r>
        <w:rPr>
          <w:rStyle w:val="CharacterStyle1"/>
          <w:spacing w:val="-2"/>
          <w:w w:val="105"/>
          <w:lang w:val="es-ES" w:eastAsia="es-ES"/>
        </w:rPr>
        <w:t xml:space="preserve">reformas; así como la resolución de la Contraloría General de la República No. RC-694- </w:t>
      </w:r>
      <w:r>
        <w:rPr>
          <w:rStyle w:val="CharacterStyle1"/>
          <w:spacing w:val="-6"/>
          <w:w w:val="105"/>
          <w:lang w:val="es-ES" w:eastAsia="es-ES"/>
        </w:rPr>
        <w:t xml:space="preserve">2001 de las nueve horas con cuarenta y cinco minutos del trece de noviembre del 2001, el </w:t>
      </w:r>
      <w:r>
        <w:rPr>
          <w:rStyle w:val="CharacterStyle1"/>
          <w:spacing w:val="5"/>
          <w:w w:val="105"/>
          <w:lang w:val="es-ES" w:eastAsia="es-ES"/>
        </w:rPr>
        <w:t xml:space="preserve">Tribunal Administrativo de Transporte es el competente para conocer y resolver </w:t>
      </w:r>
      <w:r>
        <w:rPr>
          <w:rStyle w:val="CharacterStyle1"/>
          <w:spacing w:val="-4"/>
          <w:w w:val="105"/>
          <w:lang w:val="es-ES" w:eastAsia="es-ES"/>
        </w:rPr>
        <w:t>únicamente los recursos de apelación y no la presente gestión.</w:t>
      </w:r>
    </w:p>
    <w:p w:rsidR="005B239F" w:rsidRDefault="005B239F" w:rsidP="005B239F">
      <w:pPr>
        <w:pStyle w:val="Style6"/>
        <w:kinsoku w:val="0"/>
        <w:autoSpaceDE/>
        <w:autoSpaceDN/>
        <w:adjustRightInd/>
        <w:spacing w:after="216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lastRenderedPageBreak/>
        <w:t>UNICO:</w:t>
      </w:r>
    </w:p>
    <w:p w:rsidR="005B239F" w:rsidRPr="001377D0" w:rsidRDefault="005B239F" w:rsidP="005B239F">
      <w:pPr>
        <w:pStyle w:val="Style6"/>
        <w:kinsoku w:val="0"/>
        <w:autoSpaceDE/>
        <w:autoSpaceDN/>
        <w:adjustRightInd/>
        <w:spacing w:before="144" w:line="199" w:lineRule="auto"/>
        <w:jc w:val="both"/>
        <w:rPr>
          <w:spacing w:val="-9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45pt;margin-top:523.9pt;width:83.55pt;height:13.4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B239F" w:rsidRPr="00731F6C" w:rsidRDefault="005B239F" w:rsidP="005B239F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0;margin-top:524.35pt;width:48.5pt;height:24.9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B239F" w:rsidRPr="00731F6C" w:rsidRDefault="005B239F" w:rsidP="005B239F"/>
              </w:txbxContent>
            </v:textbox>
            <w10:wrap type="square"/>
          </v:shape>
        </w:pict>
      </w:r>
      <w:r w:rsidRPr="001377D0">
        <w:rPr>
          <w:spacing w:val="-3"/>
          <w:lang w:val="es-ES" w:eastAsia="es-ES"/>
        </w:rPr>
        <w:t xml:space="preserve">Es evidente que la petición es enviada en alzada ante el Tribunal Administrativo de </w:t>
      </w:r>
      <w:r w:rsidRPr="001377D0">
        <w:rPr>
          <w:spacing w:val="-9"/>
          <w:lang w:val="es-ES" w:eastAsia="es-ES"/>
        </w:rPr>
        <w:t xml:space="preserve">Transporte, debido al Acuerdo de Junta Directiva, efectuado el día 17 de febrero de 2002 a </w:t>
      </w:r>
      <w:r w:rsidRPr="001377D0">
        <w:rPr>
          <w:spacing w:val="-6"/>
          <w:lang w:val="es-ES" w:eastAsia="es-ES"/>
        </w:rPr>
        <w:t xml:space="preserve">través del Artículo 4 de la Sesión Ordinaria Na 5-2002, sin que el mismo fuese un recurso </w:t>
      </w:r>
      <w:r w:rsidRPr="001377D0">
        <w:rPr>
          <w:spacing w:val="-9"/>
          <w:lang w:val="es-ES" w:eastAsia="es-ES"/>
        </w:rPr>
        <w:t xml:space="preserve">de apelación conforme a la normativa dispuesta en el Artículo 22 de la Ley Reguladora del Servicio Público de Transporte Remunerado de Personas en Vehículos en la Modalidad de </w:t>
      </w:r>
      <w:r w:rsidRPr="001377D0">
        <w:rPr>
          <w:spacing w:val="-7"/>
          <w:lang w:val="es-ES" w:eastAsia="es-ES"/>
        </w:rPr>
        <w:t xml:space="preserve">Taxi, Ley No. 7969. No obstante, analizado el escrito de marras se evidencia que el mismo </w:t>
      </w:r>
      <w:r w:rsidRPr="001377D0">
        <w:rPr>
          <w:spacing w:val="-2"/>
          <w:lang w:val="es-ES" w:eastAsia="es-ES"/>
        </w:rPr>
        <w:t xml:space="preserve">se presento como una simple solicitud para que la Administración reconsiderara la </w:t>
      </w:r>
      <w:r w:rsidRPr="001377D0">
        <w:rPr>
          <w:spacing w:val="-6"/>
          <w:lang w:val="es-ES" w:eastAsia="es-ES"/>
        </w:rPr>
        <w:t xml:space="preserve">distribución de bases en la zona de San Pablo de León Cortes, al margen de que el escrito </w:t>
      </w:r>
      <w:r w:rsidRPr="001377D0">
        <w:rPr>
          <w:spacing w:val="-9"/>
          <w:lang w:val="es-ES" w:eastAsia="es-ES"/>
        </w:rPr>
        <w:t xml:space="preserve">fue presentado en forma extemporánea, según se establece en el resultando sexto de esta resolución, por lo que no se entra a conocer el fondo del mismo. Adicionalmente se debe </w:t>
      </w:r>
      <w:r w:rsidRPr="001377D0">
        <w:rPr>
          <w:spacing w:val="-6"/>
          <w:lang w:val="es-ES" w:eastAsia="es-ES"/>
        </w:rPr>
        <w:t xml:space="preserve">advertir que de él no se infiere razón alguna para pretender su conocimiento por parte de </w:t>
      </w:r>
      <w:r w:rsidRPr="001377D0">
        <w:rPr>
          <w:spacing w:val="-9"/>
          <w:lang w:val="es-ES" w:eastAsia="es-ES"/>
        </w:rPr>
        <w:t>este Tribunal, en ese tanto se resuelve,</w:t>
      </w:r>
    </w:p>
    <w:p w:rsidR="005B239F" w:rsidRPr="001377D0" w:rsidRDefault="005B239F" w:rsidP="005B239F">
      <w:pPr>
        <w:pStyle w:val="Style6"/>
        <w:kinsoku w:val="0"/>
        <w:autoSpaceDE/>
        <w:autoSpaceDN/>
        <w:adjustRightInd/>
        <w:spacing w:before="432" w:line="204" w:lineRule="auto"/>
        <w:jc w:val="center"/>
        <w:rPr>
          <w:b/>
          <w:bCs/>
          <w:spacing w:val="-5"/>
          <w:lang w:val="es-ES" w:eastAsia="es-ES"/>
        </w:rPr>
      </w:pPr>
      <w:r w:rsidRPr="001377D0">
        <w:rPr>
          <w:b/>
          <w:bCs/>
          <w:spacing w:val="-5"/>
          <w:lang w:val="es-ES" w:eastAsia="es-ES"/>
        </w:rPr>
        <w:t>POR TANTO:</w:t>
      </w:r>
    </w:p>
    <w:p w:rsidR="005B239F" w:rsidRPr="001377D0" w:rsidRDefault="005B239F" w:rsidP="005B239F">
      <w:pPr>
        <w:pStyle w:val="Style7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 w:line="275" w:lineRule="exact"/>
        <w:rPr>
          <w:spacing w:val="-12"/>
          <w:lang w:val="es-ES" w:eastAsia="es-ES"/>
        </w:rPr>
      </w:pPr>
      <w:r w:rsidRPr="001377D0">
        <w:rPr>
          <w:spacing w:val="-6"/>
          <w:lang w:val="es-ES" w:eastAsia="es-ES"/>
        </w:rPr>
        <w:t xml:space="preserve">Se ordena el archivo </w:t>
      </w:r>
      <w:r w:rsidRPr="001377D0">
        <w:rPr>
          <w:bCs/>
          <w:spacing w:val="-6"/>
          <w:lang w:val="es-ES" w:eastAsia="es-ES"/>
        </w:rPr>
        <w:t xml:space="preserve">de la </w:t>
      </w:r>
      <w:r w:rsidRPr="001377D0">
        <w:rPr>
          <w:spacing w:val="-6"/>
          <w:lang w:val="es-ES" w:eastAsia="es-ES"/>
        </w:rPr>
        <w:t xml:space="preserve">gestión en alzada, presentado por </w:t>
      </w:r>
      <w:r w:rsidRPr="001377D0">
        <w:rPr>
          <w:bCs/>
          <w:spacing w:val="-6"/>
          <w:lang w:val="es-ES" w:eastAsia="es-ES"/>
        </w:rPr>
        <w:t xml:space="preserve">ECC, </w:t>
      </w:r>
      <w:r w:rsidRPr="001377D0">
        <w:rPr>
          <w:bCs/>
          <w:spacing w:val="-4"/>
          <w:lang w:val="es-ES" w:eastAsia="es-ES"/>
        </w:rPr>
        <w:t xml:space="preserve">cédula de identidad </w:t>
      </w:r>
      <w:proofErr w:type="gramStart"/>
      <w:r w:rsidRPr="001377D0">
        <w:rPr>
          <w:bCs/>
          <w:spacing w:val="-4"/>
          <w:lang w:val="es-ES" w:eastAsia="es-ES"/>
        </w:rPr>
        <w:t>número …</w:t>
      </w:r>
      <w:proofErr w:type="gramEnd"/>
      <w:r w:rsidRPr="001377D0">
        <w:rPr>
          <w:bCs/>
          <w:spacing w:val="-4"/>
          <w:lang w:val="es-ES" w:eastAsia="es-ES"/>
        </w:rPr>
        <w:t xml:space="preserve"> </w:t>
      </w:r>
      <w:r w:rsidRPr="001377D0">
        <w:rPr>
          <w:spacing w:val="-4"/>
          <w:lang w:val="es-ES" w:eastAsia="es-ES"/>
        </w:rPr>
        <w:t xml:space="preserve">y otros, por improcedente por cuanto no es un </w:t>
      </w:r>
      <w:r w:rsidRPr="001377D0">
        <w:rPr>
          <w:spacing w:val="-12"/>
          <w:lang w:val="es-ES" w:eastAsia="es-ES"/>
        </w:rPr>
        <w:t>recurso de apelación.</w:t>
      </w:r>
    </w:p>
    <w:p w:rsidR="005B239F" w:rsidRDefault="005B239F" w:rsidP="005B239F">
      <w:pPr>
        <w:pStyle w:val="Style7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80" w:lineRule="exact"/>
        <w:rPr>
          <w:bCs/>
          <w:spacing w:val="-5"/>
          <w:lang w:val="es-ES" w:eastAsia="es-ES"/>
        </w:rPr>
      </w:pPr>
      <w:r w:rsidRPr="001377D0">
        <w:rPr>
          <w:spacing w:val="-2"/>
          <w:lang w:val="es-ES" w:eastAsia="es-ES"/>
        </w:rPr>
        <w:t xml:space="preserve">De conformidad </w:t>
      </w:r>
      <w:r w:rsidRPr="001377D0">
        <w:rPr>
          <w:bCs/>
          <w:spacing w:val="-2"/>
          <w:lang w:val="es-ES" w:eastAsia="es-ES"/>
        </w:rPr>
        <w:t xml:space="preserve">con el artículo </w:t>
      </w:r>
      <w:r w:rsidRPr="001377D0">
        <w:rPr>
          <w:spacing w:val="-2"/>
          <w:lang w:val="es-ES" w:eastAsia="es-ES"/>
        </w:rPr>
        <w:t xml:space="preserve">22, inciso c), de la citada Ley 7969, la presente </w:t>
      </w:r>
      <w:r w:rsidRPr="001377D0">
        <w:rPr>
          <w:spacing w:val="-8"/>
          <w:lang w:val="es-ES" w:eastAsia="es-ES"/>
        </w:rPr>
        <w:t xml:space="preserve">resolución no tiene </w:t>
      </w:r>
      <w:r w:rsidRPr="001377D0">
        <w:rPr>
          <w:bCs/>
          <w:spacing w:val="-8"/>
          <w:lang w:val="es-ES" w:eastAsia="es-ES"/>
        </w:rPr>
        <w:t>ulterior recurso por lo que, se</w:t>
      </w:r>
      <w:r w:rsidRPr="00731F6C">
        <w:rPr>
          <w:bCs/>
          <w:spacing w:val="-8"/>
          <w:lang w:val="es-ES" w:eastAsia="es-ES"/>
        </w:rPr>
        <w:t xml:space="preserve"> </w:t>
      </w:r>
      <w:r w:rsidRPr="00731F6C">
        <w:rPr>
          <w:i/>
          <w:iCs/>
          <w:spacing w:val="-8"/>
          <w:sz w:val="25"/>
          <w:szCs w:val="25"/>
          <w:lang w:val="es-ES" w:eastAsia="es-ES"/>
        </w:rPr>
        <w:t xml:space="preserve">tiene por agotada </w:t>
      </w:r>
      <w:r>
        <w:rPr>
          <w:i/>
          <w:iCs/>
          <w:spacing w:val="-8"/>
          <w:sz w:val="25"/>
          <w:szCs w:val="25"/>
          <w:lang w:val="es-ES" w:eastAsia="es-ES"/>
        </w:rPr>
        <w:t>l</w:t>
      </w:r>
      <w:r w:rsidRPr="00731F6C">
        <w:rPr>
          <w:i/>
          <w:iCs/>
          <w:spacing w:val="-8"/>
          <w:sz w:val="25"/>
          <w:szCs w:val="25"/>
          <w:lang w:val="es-ES" w:eastAsia="es-ES"/>
        </w:rPr>
        <w:t xml:space="preserve">a vía administrativa. </w:t>
      </w:r>
      <w:r w:rsidRPr="00731F6C">
        <w:rPr>
          <w:bCs/>
          <w:spacing w:val="-5"/>
          <w:lang w:val="es-ES" w:eastAsia="es-ES"/>
        </w:rPr>
        <w:t>NOTIFIQUESE.-</w:t>
      </w:r>
    </w:p>
    <w:p w:rsidR="005B239F" w:rsidRDefault="005B239F" w:rsidP="005B239F">
      <w:pPr>
        <w:pStyle w:val="Style7"/>
        <w:kinsoku w:val="0"/>
        <w:autoSpaceDE/>
        <w:autoSpaceDN/>
        <w:spacing w:line="280" w:lineRule="exact"/>
        <w:ind w:left="72" w:firstLine="0"/>
        <w:rPr>
          <w:bCs/>
          <w:spacing w:val="-5"/>
          <w:lang w:val="es-ES" w:eastAsia="es-ES"/>
        </w:rPr>
      </w:pPr>
    </w:p>
    <w:p w:rsidR="005B239F" w:rsidRDefault="005B239F" w:rsidP="005B239F">
      <w:pPr>
        <w:pStyle w:val="Style7"/>
        <w:kinsoku w:val="0"/>
        <w:autoSpaceDE/>
        <w:autoSpaceDN/>
        <w:spacing w:line="280" w:lineRule="exact"/>
        <w:ind w:left="72" w:firstLine="0"/>
        <w:rPr>
          <w:bCs/>
          <w:spacing w:val="-5"/>
          <w:lang w:val="es-ES" w:eastAsia="es-ES"/>
        </w:rPr>
      </w:pPr>
    </w:p>
    <w:p w:rsidR="005B239F" w:rsidRDefault="005B239F" w:rsidP="005B239F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5B239F" w:rsidRDefault="005B239F" w:rsidP="005B239F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B239F" w:rsidRDefault="005B239F" w:rsidP="005B239F">
      <w:pPr>
        <w:jc w:val="center"/>
        <w:rPr>
          <w:sz w:val="26"/>
          <w:szCs w:val="26"/>
        </w:rPr>
      </w:pPr>
    </w:p>
    <w:p w:rsidR="005B239F" w:rsidRDefault="005B239F" w:rsidP="005B239F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5B239F" w:rsidRPr="00863A7F" w:rsidRDefault="005B239F" w:rsidP="005B239F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5B239F" w:rsidRDefault="005B239F" w:rsidP="005B239F">
      <w:pPr>
        <w:rPr>
          <w:sz w:val="26"/>
          <w:szCs w:val="26"/>
        </w:rPr>
      </w:pPr>
    </w:p>
    <w:p w:rsidR="005B239F" w:rsidRPr="00731F6C" w:rsidRDefault="005B239F" w:rsidP="005B239F">
      <w:pPr>
        <w:pStyle w:val="Style7"/>
        <w:kinsoku w:val="0"/>
        <w:autoSpaceDE/>
        <w:autoSpaceDN/>
        <w:spacing w:line="280" w:lineRule="exact"/>
        <w:ind w:left="72" w:firstLine="0"/>
        <w:rPr>
          <w:bCs/>
          <w:spacing w:val="-5"/>
          <w:lang w:val="es-ES" w:eastAsia="es-ES"/>
        </w:rPr>
      </w:pPr>
    </w:p>
    <w:p w:rsidR="00F07A18" w:rsidRDefault="00F07A18"/>
    <w:sectPr w:rsidR="00F07A18" w:rsidSect="008F6743"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45F6"/>
    <w:multiLevelType w:val="singleLevel"/>
    <w:tmpl w:val="1D90307E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Garamond" w:hAnsi="Garamond" w:cs="Garamond"/>
        <w:snapToGrid/>
        <w:spacing w:val="-6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39F"/>
    <w:rsid w:val="003819BC"/>
    <w:rsid w:val="003D5801"/>
    <w:rsid w:val="005B239F"/>
    <w:rsid w:val="006A5EC0"/>
    <w:rsid w:val="00842A13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9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239F"/>
    <w:pPr>
      <w:kinsoku/>
      <w:autoSpaceDE w:val="0"/>
      <w:autoSpaceDN w:val="0"/>
      <w:jc w:val="both"/>
    </w:pPr>
  </w:style>
  <w:style w:type="paragraph" w:customStyle="1" w:styleId="Style2">
    <w:name w:val="Style 2"/>
    <w:basedOn w:val="Normal"/>
    <w:uiPriority w:val="99"/>
    <w:rsid w:val="005B239F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B239F"/>
    <w:pPr>
      <w:kinsoku/>
      <w:autoSpaceDE w:val="0"/>
      <w:autoSpaceDN w:val="0"/>
      <w:spacing w:before="576" w:line="199" w:lineRule="auto"/>
      <w:jc w:val="center"/>
    </w:pPr>
    <w:rPr>
      <w:b/>
      <w:bCs/>
    </w:rPr>
  </w:style>
  <w:style w:type="paragraph" w:customStyle="1" w:styleId="Style3">
    <w:name w:val="Style 3"/>
    <w:basedOn w:val="Normal"/>
    <w:uiPriority w:val="99"/>
    <w:rsid w:val="005B239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B239F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7">
    <w:name w:val="Style 7"/>
    <w:basedOn w:val="Normal"/>
    <w:uiPriority w:val="99"/>
    <w:rsid w:val="005B239F"/>
    <w:pPr>
      <w:kinsoku/>
      <w:autoSpaceDE w:val="0"/>
      <w:autoSpaceDN w:val="0"/>
      <w:spacing w:before="216" w:line="276" w:lineRule="exact"/>
      <w:ind w:firstLine="72"/>
      <w:jc w:val="both"/>
    </w:pPr>
  </w:style>
  <w:style w:type="paragraph" w:customStyle="1" w:styleId="Style6">
    <w:name w:val="Style 6"/>
    <w:basedOn w:val="Normal"/>
    <w:uiPriority w:val="99"/>
    <w:rsid w:val="005B239F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5B239F"/>
    <w:rPr>
      <w:sz w:val="24"/>
    </w:rPr>
  </w:style>
  <w:style w:type="character" w:customStyle="1" w:styleId="CharacterStyle5">
    <w:name w:val="Character Style 5"/>
    <w:uiPriority w:val="99"/>
    <w:rsid w:val="005B239F"/>
    <w:rPr>
      <w:sz w:val="20"/>
    </w:rPr>
  </w:style>
  <w:style w:type="character" w:customStyle="1" w:styleId="CharacterStyle6">
    <w:name w:val="Character Style 6"/>
    <w:uiPriority w:val="99"/>
    <w:rsid w:val="005B239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2013-06-14T20:21:00Z</dcterms:created>
  <dcterms:modified xsi:type="dcterms:W3CDTF">2013-06-14T20:22:00Z</dcterms:modified>
</cp:coreProperties>
</file>